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spacing w:line="360" w:lineRule="auto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Пороговые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значения персонального рейтинга сотрудников НИИИЯФ МГУ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утверждены и опубликованы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 сайте </w:t>
      </w:r>
      <w:r>
        <w:rPr>
          <w:rFonts w:ascii="Times New Roman" w:hAnsi="Times New Roman"/>
          <w:sz w:val="28"/>
          <w:szCs w:val="28"/>
          <w:rtl w:val="0"/>
          <w:lang w:val="ru-RU"/>
        </w:rPr>
        <w:t>&lt;</w:t>
      </w:r>
      <w:r>
        <w:rPr>
          <w:rFonts w:ascii="Times New Roman" w:hAnsi="Times New Roman"/>
          <w:sz w:val="28"/>
          <w:szCs w:val="28"/>
          <w:rtl w:val="0"/>
          <w:lang w:val="en-US"/>
        </w:rPr>
        <w:t>hhtp</w:t>
      </w:r>
      <w:r>
        <w:rPr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Fonts w:ascii="Times New Roman" w:hAnsi="Times New Roman"/>
          <w:sz w:val="28"/>
          <w:szCs w:val="28"/>
          <w:rtl w:val="0"/>
          <w:lang w:val="en-US"/>
        </w:rPr>
        <w:t>www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msu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/>
          <w:sz w:val="28"/>
          <w:szCs w:val="28"/>
          <w:rtl w:val="0"/>
          <w:lang w:val="en-US"/>
        </w:rPr>
        <w:t>science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/>
          <w:sz w:val="28"/>
          <w:szCs w:val="28"/>
          <w:rtl w:val="0"/>
          <w:lang w:val="en-US"/>
        </w:rPr>
        <w:t>reyting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/>
          <w:sz w:val="28"/>
          <w:szCs w:val="28"/>
          <w:rtl w:val="0"/>
          <w:lang w:val="en-US"/>
        </w:rPr>
        <w:t>niiyaf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pdf</w:t>
      </w:r>
      <w:r>
        <w:rPr>
          <w:rFonts w:ascii="Times New Roman" w:hAnsi="Times New Roman"/>
          <w:sz w:val="28"/>
          <w:szCs w:val="28"/>
          <w:rtl w:val="0"/>
          <w:lang w:val="ru-RU"/>
        </w:rPr>
        <w:t>&gt;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актуальные в диапазоне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2011-2015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годов для оценки результативности деятельности при прохождении конкурсов в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2016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Обычный"/>
      </w:pPr>
    </w:p>
    <w:p>
      <w:pPr>
        <w:pStyle w:val="Обычный"/>
      </w:pPr>
    </w:p>
    <w:tbl>
      <w:tblPr>
        <w:tblW w:w="99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63"/>
        <w:gridCol w:w="2463"/>
        <w:gridCol w:w="2464"/>
        <w:gridCol w:w="2514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4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Должности</w:t>
            </w:r>
          </w:p>
        </w:tc>
        <w:tc>
          <w:tcPr>
            <w:tcW w:type="dxa" w:w="74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Пороговые значения рейтинга научных сотрудников НИИЯФ</w:t>
            </w:r>
          </w:p>
          <w:p>
            <w:pPr>
              <w:pStyle w:val="Обычный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при расчёте в диапазоне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2011-2015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годов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4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75%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медиана</w:t>
            </w:r>
          </w:p>
        </w:tc>
        <w:tc>
          <w:tcPr>
            <w:tcW w:type="dxa" w:w="2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25%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384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240</w:t>
            </w:r>
          </w:p>
        </w:tc>
        <w:tc>
          <w:tcPr>
            <w:tcW w:type="dxa" w:w="2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105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471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233</w:t>
            </w:r>
          </w:p>
        </w:tc>
        <w:tc>
          <w:tcPr>
            <w:tcW w:type="dxa" w:w="2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127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700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382</w:t>
            </w:r>
          </w:p>
        </w:tc>
        <w:tc>
          <w:tcPr>
            <w:tcW w:type="dxa" w:w="2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195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973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575</w:t>
            </w:r>
          </w:p>
        </w:tc>
        <w:tc>
          <w:tcPr>
            <w:tcW w:type="dxa" w:w="2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306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1044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660</w:t>
            </w:r>
          </w:p>
        </w:tc>
        <w:tc>
          <w:tcPr>
            <w:tcW w:type="dxa" w:w="2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369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зав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лаб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1938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1178</w:t>
            </w:r>
          </w:p>
        </w:tc>
        <w:tc>
          <w:tcPr>
            <w:tcW w:type="dxa" w:w="2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615</w:t>
            </w:r>
          </w:p>
        </w:tc>
      </w:tr>
    </w:tbl>
    <w:p>
      <w:pPr>
        <w:pStyle w:val="Обычный"/>
      </w:pPr>
    </w:p>
    <w:p>
      <w:pPr>
        <w:pStyle w:val="Обычный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Указанные в таблице персональные рейтинги представляют собой округлённые пороговые значения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автоматически рассчитанные ИАС «ИСТИНА» за указанный период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Данные пороговые значения рассчитаны для интервала дат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2011-2015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формуле расчета персонального рейтинга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55"/>
        <w:gridCol w:w="1538"/>
        <w:gridCol w:w="3110"/>
        <w:gridCol w:w="629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Категории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Ограничения</w:t>
            </w:r>
          </w:p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Свойства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Вес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3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Научная работа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Статья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- WoS - 50*IF/N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Статьи → Журналы → Международные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rPr>
                <w:rFonts w:ascii="Times New Roman" w:cs="Times New Roman" w:hAnsi="Times New Roman" w:eastAsia="Times New Roman"/>
                <w:b w:val="1"/>
                <w:bCs w:val="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Импакт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 xml:space="preserve">фактор → 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ISI</w:t>
            </w:r>
          </w:p>
          <w:p>
            <w:pPr>
              <w:pStyle w:val="Обычный"/>
              <w:widowControl w:val="1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Разделить на число соавторов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Патент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- 50/N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Патенты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rPr>
                <w:rFonts w:ascii="Times New Roman" w:cs="Times New Roman" w:hAnsi="Times New Roman" w:eastAsia="Times New Roman"/>
                <w:b w:val="1"/>
                <w:bCs w:val="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Количество</w:t>
            </w:r>
          </w:p>
          <w:p>
            <w:pPr>
              <w:pStyle w:val="Обычный"/>
              <w:widowControl w:val="1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Разделить на число соавторов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Патент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ПО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- 50/N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Патенты → На программное обеспечение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rPr>
                <w:rFonts w:ascii="Times New Roman" w:cs="Times New Roman" w:hAnsi="Times New Roman" w:eastAsia="Times New Roman"/>
                <w:b w:val="1"/>
                <w:bCs w:val="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Количество</w:t>
            </w:r>
          </w:p>
          <w:p>
            <w:pPr>
              <w:pStyle w:val="Обычный"/>
              <w:widowControl w:val="1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Разделить на число соавторов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Индекс Хирша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- 10*Hirsh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 xml:space="preserve">Цитирование → </w:t>
            </w:r>
            <w:r>
              <w:rPr>
                <w:rFonts w:ascii="Times New Roman" w:hAnsi="Times New Roman"/>
                <w:kern w:val="0"/>
                <w:sz w:val="20"/>
                <w:szCs w:val="20"/>
                <w:rtl w:val="0"/>
                <w:lang w:val="ru-RU"/>
              </w:rPr>
              <w:t xml:space="preserve">Hirsh </w:t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 xml:space="preserve">→ </w:t>
            </w:r>
            <w:r>
              <w:rPr>
                <w:rFonts w:ascii="Times New Roman" w:hAnsi="Times New Roman"/>
                <w:kern w:val="0"/>
                <w:sz w:val="20"/>
                <w:szCs w:val="20"/>
                <w:rtl w:val="0"/>
                <w:lang w:val="ru-RU"/>
              </w:rPr>
              <w:t>WOS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Количество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Кандидатская диссертация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- 50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Защищённые диссертации → Кандидатская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Количество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Докторская диссертация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- 100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Защищённые диссертации → Докторская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Количество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Учебник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МГУ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) - 20/N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Учебники → Учебник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rPr>
                <w:rFonts w:ascii="Times New Roman" w:cs="Times New Roman" w:hAnsi="Times New Roman" w:eastAsia="Times New Roman"/>
                <w:b w:val="1"/>
                <w:bCs w:val="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Количество</w:t>
            </w:r>
          </w:p>
          <w:p>
            <w:pPr>
              <w:pStyle w:val="Обычный"/>
              <w:widowControl w:val="1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Разделить на число соавторов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Пособие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МГУ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) - 20/N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Учебники → Пособие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rPr>
                <w:rFonts w:ascii="Times New Roman" w:cs="Times New Roman" w:hAnsi="Times New Roman" w:eastAsia="Times New Roman"/>
                <w:b w:val="1"/>
                <w:bCs w:val="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Количество</w:t>
            </w:r>
          </w:p>
          <w:p>
            <w:pPr>
              <w:pStyle w:val="Обычный"/>
              <w:widowControl w:val="1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Разделить на число соавторов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Статья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- Scopus - 5/N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Статьи → Журналы → Международные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rPr>
                <w:rFonts w:ascii="Times New Roman" w:cs="Times New Roman" w:hAnsi="Times New Roman" w:eastAsia="Times New Roman"/>
                <w:b w:val="1"/>
                <w:bCs w:val="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Количество</w:t>
            </w:r>
          </w:p>
          <w:p>
            <w:pPr>
              <w:pStyle w:val="Обычный"/>
              <w:widowControl w:val="1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Разделить на число соавторов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3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Учебная работа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Руководство кандидатской диссертацией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Руководство → Кандидатская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Количество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Руководство докторской диссертацией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Руководство → Докторская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Количество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Лекции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базовый курс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Часы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/5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Курс лекций → Базовый курс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Акад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часов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0.2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Лекции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спецкурс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Часы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/5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Курс лекций → С</w:t>
            </w:r>
            <w:r>
              <w:rPr>
                <w:rFonts w:ascii="Times New Roman" w:hAnsi="Times New Roman"/>
                <w:kern w:val="0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kern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вариативн</w:t>
            </w:r>
            <w:r>
              <w:rPr>
                <w:rFonts w:ascii="Times New Roman" w:hAnsi="Times New Roman"/>
                <w:kern w:val="0"/>
                <w:sz w:val="20"/>
                <w:szCs w:val="20"/>
                <w:rtl w:val="0"/>
                <w:lang w:val="ru-RU"/>
              </w:rPr>
              <w:t>,...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Акад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часов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0.2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Семинары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- 0,5*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Часы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/5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Семинары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Акад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часов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0.1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Практикум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- 0,5*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Часы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/5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Практикум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Акад</w:t>
            </w:r>
            <w:r>
              <w:rPr>
                <w:rFonts w:ascii="Times New Roman" w:hAnsi="Times New Roman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часов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0.1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Руководство дипломной работой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- 20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Руководство → Дипломная работа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Количество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3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Финансирование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Руководитель НИР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Сумма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 xml:space="preserve">/10 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НИР → Руководитель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Финансирование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0.1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 xml:space="preserve">Исполнитель НИР 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- 0,75*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Сумма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 xml:space="preserve">/(10 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.*N)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kern w:val="0"/>
                <w:sz w:val="20"/>
                <w:szCs w:val="20"/>
                <w:rtl w:val="0"/>
                <w:lang w:val="ru-RU"/>
              </w:rPr>
              <w:t>НИР → Участник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rPr>
                <w:rFonts w:ascii="Times New Roman" w:cs="Times New Roman" w:hAnsi="Times New Roman" w:eastAsia="Times New Roman"/>
                <w:b w:val="1"/>
                <w:bCs w:val="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Финансирование</w:t>
            </w:r>
          </w:p>
          <w:p>
            <w:pPr>
              <w:pStyle w:val="Обычный"/>
              <w:widowControl w:val="1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ru-RU"/>
              </w:rPr>
              <w:t>Разделить на число соавторов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ru-RU"/>
              </w:rPr>
              <w:t>0.075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3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suppressAutoHyphens w:val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kern w:val="0"/>
                <w:sz w:val="24"/>
                <w:szCs w:val="24"/>
                <w:rtl w:val="0"/>
                <w:lang w:val="ru-RU"/>
              </w:rPr>
              <w:t>Прочее</w:t>
            </w:r>
          </w:p>
        </w:tc>
      </w:tr>
    </w:tbl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1"/>
        <w:suppressAutoHyphens w:val="0"/>
      </w:pPr>
      <w:r>
        <w:rPr>
          <w:rFonts w:ascii="Times New Roman" w:cs="Times New Roman" w:hAnsi="Times New Roman" w:eastAsia="Times New Roman"/>
          <w:sz w:val="28"/>
          <w:szCs w:val="28"/>
        </w:rPr>
        <w:tab/>
        <w:tab/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1134" w:right="1134" w:bottom="709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